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87" w:rsidRDefault="00C91C87" w:rsidP="00DF09B0">
      <w:pPr>
        <w:pStyle w:val="a2"/>
        <w:rPr>
          <w:sz w:val="16"/>
          <w:highlight w:val="yellow"/>
        </w:rPr>
      </w:pPr>
    </w:p>
    <w:p w:rsidR="001559DB" w:rsidRPr="001559DB" w:rsidRDefault="001559DB" w:rsidP="001559DB">
      <w:pPr>
        <w:suppressAutoHyphens w:val="0"/>
        <w:jc w:val="center"/>
        <w:rPr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334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DB" w:rsidRPr="001559DB" w:rsidRDefault="001559DB" w:rsidP="001559DB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ХАНТЫ-МАНСИЙСКИЙ АВТОНОМНЫЙ ОКРУГ-ЮГРА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ТЮМЕНСКАЯ ОБЛАСТЬ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Управление образования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Администрация Муниципального образования - городской округ</w:t>
      </w:r>
    </w:p>
    <w:p w:rsidR="001559DB" w:rsidRPr="001559DB" w:rsidRDefault="001559DB" w:rsidP="001559DB">
      <w:pPr>
        <w:suppressAutoHyphens w:val="0"/>
        <w:jc w:val="center"/>
        <w:rPr>
          <w:b/>
          <w:i/>
          <w:lang w:eastAsia="ru-RU"/>
        </w:rPr>
      </w:pPr>
      <w:r w:rsidRPr="001559DB">
        <w:rPr>
          <w:b/>
          <w:lang w:eastAsia="ru-RU"/>
        </w:rPr>
        <w:t>город  Югорск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>Муниципальное бюджетное общеобразовательное учреждение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 xml:space="preserve"> «Средняя общеобразовательная 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  <w:r w:rsidRPr="001559DB">
        <w:rPr>
          <w:b/>
          <w:lang w:eastAsia="ru-RU"/>
        </w:rPr>
        <w:t xml:space="preserve"> школа № 2 </w:t>
      </w:r>
      <w:proofErr w:type="spellStart"/>
      <w:r w:rsidRPr="001559DB">
        <w:rPr>
          <w:b/>
          <w:lang w:eastAsia="ru-RU"/>
        </w:rPr>
        <w:t>г</w:t>
      </w:r>
      <w:proofErr w:type="gramStart"/>
      <w:r w:rsidRPr="001559DB">
        <w:rPr>
          <w:b/>
          <w:lang w:eastAsia="ru-RU"/>
        </w:rPr>
        <w:t>.Ю</w:t>
      </w:r>
      <w:proofErr w:type="gramEnd"/>
      <w:r w:rsidRPr="001559DB">
        <w:rPr>
          <w:b/>
          <w:lang w:eastAsia="ru-RU"/>
        </w:rPr>
        <w:t>горска</w:t>
      </w:r>
      <w:proofErr w:type="spellEnd"/>
      <w:r w:rsidRPr="001559DB">
        <w:rPr>
          <w:b/>
          <w:lang w:eastAsia="ru-RU"/>
        </w:rPr>
        <w:t>»</w:t>
      </w: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</w:p>
    <w:p w:rsidR="001559DB" w:rsidRPr="001559DB" w:rsidRDefault="001559DB" w:rsidP="001559DB">
      <w:pPr>
        <w:suppressAutoHyphens w:val="0"/>
        <w:jc w:val="center"/>
        <w:rPr>
          <w:b/>
          <w:lang w:eastAsia="ru-RU"/>
        </w:rPr>
      </w:pPr>
    </w:p>
    <w:p w:rsidR="001559DB" w:rsidRDefault="001559DB" w:rsidP="00DF09B0">
      <w:pPr>
        <w:pStyle w:val="a2"/>
        <w:rPr>
          <w:sz w:val="16"/>
          <w:highlight w:val="yellow"/>
        </w:rPr>
      </w:pPr>
    </w:p>
    <w:p w:rsidR="00C91C87" w:rsidRDefault="00C91C87" w:rsidP="00DF09B0">
      <w:pPr>
        <w:pStyle w:val="a2"/>
        <w:rPr>
          <w:sz w:val="16"/>
          <w:highlight w:val="yellow"/>
        </w:rPr>
      </w:pPr>
    </w:p>
    <w:p w:rsidR="00DF09B0" w:rsidRPr="002C2802" w:rsidRDefault="002C2802" w:rsidP="0058037B">
      <w:pPr>
        <w:pStyle w:val="a2"/>
        <w:spacing w:line="240" w:lineRule="auto"/>
        <w:rPr>
          <w:rFonts w:ascii="Times New Roman" w:hAnsi="Times New Roman"/>
          <w:color w:val="FF0000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08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.0</w:t>
      </w:r>
      <w:r w:rsidR="00AD3BE5">
        <w:rPr>
          <w:rFonts w:ascii="Times New Roman" w:hAnsi="Times New Roman"/>
          <w:sz w:val="26"/>
          <w:szCs w:val="26"/>
          <w:u w:val="single"/>
        </w:rPr>
        <w:t>6</w:t>
      </w:r>
      <w:r w:rsidR="0058037B" w:rsidRPr="0058037B">
        <w:rPr>
          <w:rFonts w:ascii="Times New Roman" w:hAnsi="Times New Roman"/>
          <w:sz w:val="26"/>
          <w:szCs w:val="26"/>
          <w:u w:val="single"/>
        </w:rPr>
        <w:t>.2015</w:t>
      </w:r>
      <w:r>
        <w:rPr>
          <w:rFonts w:ascii="Times New Roman" w:hAnsi="Times New Roman"/>
          <w:sz w:val="26"/>
          <w:szCs w:val="26"/>
        </w:rPr>
        <w:t xml:space="preserve"> №________</w:t>
      </w:r>
      <w:bookmarkStart w:id="0" w:name="_GoBack"/>
      <w:bookmarkEnd w:id="0"/>
    </w:p>
    <w:p w:rsidR="00DF09B0" w:rsidRPr="00D9587B" w:rsidRDefault="0058037B" w:rsidP="00D958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  <w:r w:rsidR="00DF09B0">
        <w:rPr>
          <w:b/>
          <w:sz w:val="22"/>
          <w:szCs w:val="22"/>
        </w:rPr>
        <w:t xml:space="preserve">                                                                                            </w:t>
      </w:r>
    </w:p>
    <w:p w:rsidR="00D958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           Внести изменения в извещение  и документацию аукциона в электронной форме № 0187300005815000214 на право заключения гражданско-правового договора на выполнение работ по утеплению спален в дошкольных группах учреждения. 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1. Изменения в извещение о проведен</w:t>
      </w:r>
      <w:proofErr w:type="gramStart"/>
      <w:r w:rsidRPr="008B79B2">
        <w:rPr>
          <w:sz w:val="26"/>
          <w:szCs w:val="26"/>
        </w:rPr>
        <w:t>ии ау</w:t>
      </w:r>
      <w:proofErr w:type="gramEnd"/>
      <w:r w:rsidRPr="008B79B2">
        <w:rPr>
          <w:sz w:val="26"/>
          <w:szCs w:val="26"/>
        </w:rPr>
        <w:t>кциона в электронной форме № 0187300005815000214: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1.1. Пункт 5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«Сроки выполнения работ: </w:t>
      </w:r>
      <w:proofErr w:type="gramStart"/>
      <w:r w:rsidRPr="008B79B2">
        <w:rPr>
          <w:sz w:val="26"/>
          <w:szCs w:val="26"/>
        </w:rPr>
        <w:t>С даты заключения</w:t>
      </w:r>
      <w:proofErr w:type="gramEnd"/>
      <w:r w:rsidRPr="008B79B2">
        <w:rPr>
          <w:sz w:val="26"/>
          <w:szCs w:val="26"/>
        </w:rPr>
        <w:t xml:space="preserve"> гражданско-правового договора по 15.08.2015.»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1.2. Пункт 13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 26  » июня 2015 года.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1.3.  Пункт 15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«Дата окончания срока рассмотрения заявок на участие в аукционе в электронной форме: 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 30  » июня 2015 года».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1.4. Пункт 16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«Дата проведения аукциона в электронной форме: «  03   » июля 2015 года.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2. Изменения в часть I «Сведения о проводимом аукционе в электронной форме» документации об аукционе в электронной форме: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2.1.  Пункт 10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</w:t>
      </w:r>
      <w:proofErr w:type="gramStart"/>
      <w:r w:rsidRPr="008B79B2">
        <w:rPr>
          <w:sz w:val="26"/>
          <w:szCs w:val="26"/>
        </w:rPr>
        <w:t>С даты заключения</w:t>
      </w:r>
      <w:proofErr w:type="gramEnd"/>
      <w:r w:rsidRPr="008B79B2">
        <w:rPr>
          <w:sz w:val="26"/>
          <w:szCs w:val="26"/>
        </w:rPr>
        <w:t xml:space="preserve"> гражданско-правового договора по 15.08.2015.»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2.2. В пункте 19 слова «дата окончания предоставления разъяснений положений документации об аукционе «13» мая 2015 года» изложить в следующей редакции «дата окончания предоставления разъяснений положений документации об аукционе «24» июня 2015 года»</w:t>
      </w:r>
      <w:proofErr w:type="gramStart"/>
      <w:r w:rsidRPr="008B79B2">
        <w:rPr>
          <w:sz w:val="26"/>
          <w:szCs w:val="26"/>
        </w:rPr>
        <w:t xml:space="preserve">  .</w:t>
      </w:r>
      <w:proofErr w:type="gramEnd"/>
      <w:r w:rsidRPr="008B79B2">
        <w:rPr>
          <w:sz w:val="26"/>
          <w:szCs w:val="26"/>
        </w:rPr>
        <w:t xml:space="preserve"> 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2.3. Пункт 20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 «Участник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« 26  » июня 2015 года</w:t>
      </w:r>
      <w:proofErr w:type="gramStart"/>
      <w:r w:rsidRPr="008B79B2">
        <w:rPr>
          <w:sz w:val="26"/>
          <w:szCs w:val="26"/>
        </w:rPr>
        <w:t>.»</w:t>
      </w:r>
      <w:proofErr w:type="gramEnd"/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2.4. Пункт 22 изложить в новой редакции:  « 03 »  июля 2015 года».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lastRenderedPageBreak/>
        <w:t>2.5. В пункте 23 второй абзац 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proofErr w:type="gramStart"/>
      <w:r w:rsidRPr="008B79B2">
        <w:rPr>
          <w:sz w:val="26"/>
          <w:szCs w:val="26"/>
        </w:rPr>
        <w:t>«Первая часть заявки на участие в электронном аукционе должна содержать следующие сведения: 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II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</w:t>
      </w:r>
      <w:proofErr w:type="gramEnd"/>
      <w:r w:rsidRPr="008B79B2">
        <w:rPr>
          <w:sz w:val="26"/>
          <w:szCs w:val="26"/>
        </w:rPr>
        <w:t>), патенты (при наличии), полезные модели (при наличии), промышленные образцы (при наличии), наименование страны происхождения товара</w:t>
      </w:r>
      <w:proofErr w:type="gramStart"/>
      <w:r w:rsidRPr="008B79B2">
        <w:rPr>
          <w:sz w:val="26"/>
          <w:szCs w:val="26"/>
        </w:rPr>
        <w:t>.»</w:t>
      </w:r>
      <w:proofErr w:type="gramEnd"/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3. Изменения в часть II «Техническое задание» документации об аукционе в электронной форме: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3.1. Слова «Сроки выполнения работ: </w:t>
      </w:r>
      <w:proofErr w:type="gramStart"/>
      <w:r w:rsidRPr="008B79B2">
        <w:rPr>
          <w:sz w:val="26"/>
          <w:szCs w:val="26"/>
        </w:rPr>
        <w:t>с даты заключения</w:t>
      </w:r>
      <w:proofErr w:type="gramEnd"/>
      <w:r w:rsidRPr="008B79B2">
        <w:rPr>
          <w:sz w:val="26"/>
          <w:szCs w:val="26"/>
        </w:rPr>
        <w:t xml:space="preserve"> гражданско-правового договора по 15.07.2015» изложить в новой редакции «Срок выполнения работ: с даты заключения гражданско-правового договора по 15 августа 2015 г.».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3.2.  Таблицу «Характеристика используемых материалов» изложить в новой редакции (приложение 1).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 Изменения в часть III «Проект контракта» документации об аукционе в электронной форме: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4.1. Пункт 4.3.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«Работы должны быть закончены в срок не позднее «15» августа  2015 г.». 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4.2. Пункт 6.2.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«Подрядчик не позднее «15» августа  2015 г. направляет в адрес Заказчика извещение (уведомление) о готовности работы к сдаче и Акт сдачи-приемки работ</w:t>
      </w:r>
      <w:proofErr w:type="gramStart"/>
      <w:r w:rsidRPr="008B79B2">
        <w:rPr>
          <w:sz w:val="26"/>
          <w:szCs w:val="26"/>
        </w:rPr>
        <w:t>.»</w:t>
      </w:r>
      <w:proofErr w:type="gramEnd"/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4.3. Пункт 6.4.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«Стороны подписывают Акты сдачи-приемки этапа работ не позднее «15» августа 2015 г.»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4.4. Пункт 7.4.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«Срок действия обеспечения исполнения Договора в форме банковской гарантии – до 15 сентября 2015 года.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</w:t>
      </w:r>
      <w:proofErr w:type="gramStart"/>
      <w:r w:rsidRPr="008B79B2">
        <w:rPr>
          <w:sz w:val="26"/>
          <w:szCs w:val="26"/>
        </w:rPr>
        <w:t>.»</w:t>
      </w:r>
      <w:proofErr w:type="gramEnd"/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4.5. Пункт 11.1 изложить в новой редакции:</w:t>
      </w:r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«Договор вступает в силу со дня подписания его Сторонами и действует по 15.08.2015 г.  С 16.08.2015 г. обязательства Сторон по Договору прекращаются, за исключением обязательств по оплате работ, гарантийных обязательств, обязательств по возмещению убытков и выплате неустойки</w:t>
      </w:r>
      <w:proofErr w:type="gramStart"/>
      <w:r w:rsidRPr="008B79B2">
        <w:rPr>
          <w:sz w:val="26"/>
          <w:szCs w:val="26"/>
        </w:rPr>
        <w:t>.»</w:t>
      </w:r>
      <w:proofErr w:type="gramEnd"/>
    </w:p>
    <w:p w:rsidR="008B79B2" w:rsidRPr="008B79B2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 xml:space="preserve">4.6. Приложение № 1 к гражданско-правовому договору изложить в новой редакции (приложение 2) </w:t>
      </w:r>
    </w:p>
    <w:p w:rsidR="006B377A" w:rsidRDefault="008B79B2" w:rsidP="008B79B2">
      <w:pPr>
        <w:rPr>
          <w:sz w:val="26"/>
          <w:szCs w:val="26"/>
        </w:rPr>
      </w:pPr>
      <w:r w:rsidRPr="008B79B2">
        <w:rPr>
          <w:sz w:val="26"/>
          <w:szCs w:val="26"/>
        </w:rPr>
        <w:t>4.7. Приложение № 3 к гражданско-правовому договору изложить в новой редакции (приложение 3)</w:t>
      </w:r>
    </w:p>
    <w:p w:rsidR="006B377A" w:rsidRDefault="006B377A" w:rsidP="00D9587B">
      <w:pPr>
        <w:rPr>
          <w:sz w:val="26"/>
          <w:szCs w:val="26"/>
        </w:rPr>
      </w:pPr>
    </w:p>
    <w:p w:rsidR="006B377A" w:rsidRDefault="006B377A" w:rsidP="00D9587B">
      <w:pPr>
        <w:rPr>
          <w:sz w:val="26"/>
          <w:szCs w:val="26"/>
        </w:rPr>
      </w:pPr>
    </w:p>
    <w:p w:rsidR="00D9587B" w:rsidRPr="00E63B68" w:rsidRDefault="004F3584" w:rsidP="008B79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 школы </w:t>
      </w:r>
      <w:r w:rsidR="00D9587B" w:rsidRPr="00E63B68">
        <w:rPr>
          <w:sz w:val="26"/>
          <w:szCs w:val="26"/>
        </w:rPr>
        <w:t xml:space="preserve">       </w:t>
      </w:r>
      <w:r w:rsidR="008B79B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      И.А. Ефремова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75208E" w:rsidRDefault="0075208E" w:rsidP="0058037B">
      <w:pPr>
        <w:snapToGrid w:val="0"/>
        <w:jc w:val="both"/>
        <w:rPr>
          <w:sz w:val="26"/>
          <w:szCs w:val="26"/>
        </w:rPr>
      </w:pPr>
    </w:p>
    <w:p w:rsidR="0075208E" w:rsidRDefault="0075208E" w:rsidP="0058037B">
      <w:pPr>
        <w:snapToGrid w:val="0"/>
        <w:jc w:val="both"/>
        <w:rPr>
          <w:sz w:val="26"/>
          <w:szCs w:val="26"/>
        </w:rPr>
      </w:pPr>
    </w:p>
    <w:p w:rsidR="0075208E" w:rsidRDefault="0075208E" w:rsidP="0058037B">
      <w:pPr>
        <w:snapToGrid w:val="0"/>
        <w:jc w:val="both"/>
        <w:rPr>
          <w:sz w:val="26"/>
          <w:szCs w:val="26"/>
        </w:rPr>
      </w:pPr>
    </w:p>
    <w:p w:rsidR="0075208E" w:rsidRDefault="0075208E" w:rsidP="0058037B">
      <w:pPr>
        <w:snapToGrid w:val="0"/>
        <w:jc w:val="both"/>
        <w:rPr>
          <w:sz w:val="26"/>
          <w:szCs w:val="26"/>
        </w:rPr>
      </w:pPr>
    </w:p>
    <w:p w:rsidR="006B377A" w:rsidRDefault="006B377A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6B377A" w:rsidRDefault="006B377A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B79B2" w:rsidRDefault="008B79B2" w:rsidP="008B79B2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B79B2" w:rsidRDefault="008B79B2" w:rsidP="008B79B2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8B79B2" w:rsidRDefault="008B79B2" w:rsidP="008B79B2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45"/>
        <w:gridCol w:w="7088"/>
      </w:tblGrid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-114" w:right="-10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материалов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  используемых материалов</w:t>
            </w:r>
          </w:p>
        </w:tc>
      </w:tr>
      <w:tr w:rsidR="008B79B2" w:rsidTr="004848CC">
        <w:trPr>
          <w:trHeight w:val="2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Pr="00B824D4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Плиты </w:t>
            </w:r>
            <w:proofErr w:type="spellStart"/>
            <w:r>
              <w:rPr>
                <w:szCs w:val="28"/>
              </w:rPr>
              <w:t>минераловатные</w:t>
            </w:r>
            <w:proofErr w:type="spellEnd"/>
            <w:r>
              <w:rPr>
                <w:szCs w:val="28"/>
              </w:rPr>
              <w:t xml:space="preserve"> на </w:t>
            </w:r>
            <w:proofErr w:type="gramStart"/>
            <w:r>
              <w:rPr>
                <w:szCs w:val="28"/>
              </w:rPr>
              <w:t>синтетическом</w:t>
            </w:r>
            <w:proofErr w:type="gramEnd"/>
            <w:r>
              <w:rPr>
                <w:szCs w:val="28"/>
              </w:rPr>
              <w:t xml:space="preserve"> связующем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Характеристика плиты </w:t>
            </w:r>
            <w:proofErr w:type="spellStart"/>
            <w:r>
              <w:rPr>
                <w:b/>
                <w:szCs w:val="28"/>
              </w:rPr>
              <w:t>минераловатной</w:t>
            </w:r>
            <w:proofErr w:type="spellEnd"/>
            <w:r>
              <w:rPr>
                <w:b/>
                <w:szCs w:val="28"/>
              </w:rPr>
              <w:t>:</w:t>
            </w:r>
          </w:p>
          <w:p w:rsidR="008B79B2" w:rsidRDefault="008B79B2" w:rsidP="004848CC">
            <w:pPr>
              <w:pStyle w:val="a"/>
              <w:numPr>
                <w:ilvl w:val="0"/>
                <w:numId w:val="0"/>
              </w:numPr>
              <w:spacing w:after="0"/>
              <w:rPr>
                <w:szCs w:val="28"/>
              </w:rPr>
            </w:pPr>
            <w:r>
              <w:t>Плотность не менее 30</w:t>
            </w:r>
            <w:r w:rsidRPr="00B44596">
              <w:t xml:space="preserve"> кг/м</w:t>
            </w:r>
            <w:r w:rsidRPr="00B44596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 w:rsidRPr="00D23DCC">
              <w:t>и не более 50 кг/м</w:t>
            </w:r>
            <w:r w:rsidRPr="00D23DCC">
              <w:rPr>
                <w:vertAlign w:val="superscript"/>
              </w:rPr>
              <w:t>3</w:t>
            </w:r>
            <w:r w:rsidRPr="00D23DCC">
              <w:t>.</w:t>
            </w:r>
            <w:r>
              <w:rPr>
                <w:vertAlign w:val="superscript"/>
              </w:rPr>
              <w:t xml:space="preserve"> </w:t>
            </w:r>
            <w:r w:rsidRPr="00B44596">
              <w:t>Коэффициент теплопроводности, при температуре</w:t>
            </w:r>
            <w:r>
              <w:t xml:space="preserve"> 10</w:t>
            </w:r>
            <w:proofErr w:type="gramStart"/>
            <w:r>
              <w:t xml:space="preserve"> С</w:t>
            </w:r>
            <w:proofErr w:type="gramEnd"/>
            <w:r w:rsidRPr="00B44596">
              <w:t xml:space="preserve"> не более</w:t>
            </w:r>
            <w:r>
              <w:t xml:space="preserve"> 0,033 Вт/(м*К). </w:t>
            </w:r>
            <w:r w:rsidRPr="00B44596">
              <w:t>Коэффициент</w:t>
            </w:r>
            <w:r>
              <w:t xml:space="preserve"> </w:t>
            </w:r>
            <w:r w:rsidRPr="00B44596">
              <w:t>теплопроводности, при температуре 25</w:t>
            </w:r>
            <w:proofErr w:type="gramStart"/>
            <w:r w:rsidRPr="00B44596">
              <w:t xml:space="preserve"> С</w:t>
            </w:r>
            <w:proofErr w:type="gramEnd"/>
            <w:r w:rsidRPr="00B44596">
              <w:t xml:space="preserve"> не более</w:t>
            </w:r>
            <w:r>
              <w:t xml:space="preserve"> 0,035 Вт/(м*К). Длина</w:t>
            </w:r>
            <w:r w:rsidRPr="00B44596">
              <w:t xml:space="preserve"> </w:t>
            </w:r>
            <w:r>
              <w:t xml:space="preserve">не менее 1000 мм и не более 1200 мм. </w:t>
            </w:r>
            <w:r w:rsidRPr="00B44596">
              <w:t>Ширина</w:t>
            </w:r>
            <w:r>
              <w:t xml:space="preserve"> не  менее 500 мм и не более</w:t>
            </w:r>
            <w:r w:rsidRPr="00B44596">
              <w:t xml:space="preserve"> </w:t>
            </w:r>
            <w:r>
              <w:t>600 мм.</w:t>
            </w:r>
            <w:r>
              <w:rPr>
                <w:b/>
              </w:rPr>
              <w:t xml:space="preserve"> </w:t>
            </w:r>
            <w:r w:rsidRPr="00B44596">
              <w:t>Толщина</w:t>
            </w:r>
            <w:r w:rsidRPr="0005008E">
              <w:t xml:space="preserve"> </w:t>
            </w:r>
            <w:r>
              <w:t>не менее 200 мм. Температура применения</w:t>
            </w:r>
            <w:r w:rsidRPr="00B44596">
              <w:t xml:space="preserve"> </w:t>
            </w:r>
            <w:r>
              <w:t xml:space="preserve">не более +400 С. </w:t>
            </w:r>
            <w:r w:rsidRPr="00B44596">
              <w:t>Прочност</w:t>
            </w:r>
            <w:r>
              <w:t>ь на сжатие при 10% деформации</w:t>
            </w:r>
            <w:r w:rsidRPr="00B44596">
              <w:t xml:space="preserve"> не менее</w:t>
            </w:r>
            <w:r>
              <w:t xml:space="preserve"> 0,025 МПа. </w:t>
            </w:r>
            <w:r w:rsidRPr="00B44596">
              <w:t>Сжимаемость не более</w:t>
            </w:r>
            <w:r>
              <w:t xml:space="preserve"> 3%. </w:t>
            </w:r>
            <w:proofErr w:type="spellStart"/>
            <w:r w:rsidRPr="00B44596">
              <w:t>Паропроницаемость</w:t>
            </w:r>
            <w:proofErr w:type="spellEnd"/>
            <w:r w:rsidRPr="00B44596">
              <w:t xml:space="preserve"> не менее</w:t>
            </w:r>
            <w:r>
              <w:t xml:space="preserve"> 0,32 мг/(м*ч*Па). Прочность на отрыв слоев</w:t>
            </w:r>
            <w:r w:rsidRPr="00B44596">
              <w:t xml:space="preserve"> не менее</w:t>
            </w:r>
            <w:r>
              <w:t xml:space="preserve"> 0,12 МПа.</w:t>
            </w:r>
          </w:p>
        </w:tc>
      </w:tr>
      <w:tr w:rsidR="008B79B2" w:rsidTr="004848CC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B824D4" w:rsidRDefault="008B79B2" w:rsidP="004848CC">
            <w:pPr>
              <w:pStyle w:val="a"/>
              <w:numPr>
                <w:ilvl w:val="0"/>
                <w:numId w:val="0"/>
              </w:numPr>
              <w:jc w:val="left"/>
              <w:rPr>
                <w:szCs w:val="28"/>
              </w:rPr>
            </w:pPr>
            <w:r>
              <w:rPr>
                <w:szCs w:val="28"/>
              </w:rPr>
              <w:t>Пароизоляционная пленка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8B4E0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  <w:r w:rsidRPr="008B4E02">
              <w:rPr>
                <w:color w:val="000000"/>
              </w:rPr>
              <w:t xml:space="preserve">Четырехслойный материал: армирующая решетка из полиэтиленовых полос, ламинированная с обеих сторон полиэтиленовой пленкой. Дополнительно покрыт с одной стороны специальным алюминиевым слоем, отражающим до 97% теплового потока внутрь помещения (принцип термоса). </w:t>
            </w:r>
            <w:r>
              <w:rPr>
                <w:color w:val="000000"/>
              </w:rPr>
              <w:t>Не менее 700 м</w:t>
            </w:r>
            <w:proofErr w:type="gramStart"/>
            <w:r w:rsidRPr="007C2C09">
              <w:rPr>
                <w:color w:val="000000"/>
                <w:vertAlign w:val="superscript"/>
              </w:rPr>
              <w:t>2</w:t>
            </w:r>
            <w:proofErr w:type="gramEnd"/>
            <w:r w:rsidRPr="007C2C09">
              <w:rPr>
                <w:color w:val="000000"/>
              </w:rPr>
              <w:t>.</w:t>
            </w:r>
          </w:p>
        </w:tc>
      </w:tr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Сайдинг</w:t>
            </w:r>
            <w:proofErr w:type="spellEnd"/>
            <w:r>
              <w:rPr>
                <w:szCs w:val="28"/>
              </w:rPr>
              <w:t xml:space="preserve"> металлический оцинкованный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8B4E0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  <w:r>
              <w:rPr>
                <w:color w:val="000000"/>
              </w:rPr>
              <w:t>Стойкость к резким перепадам температур от -50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до +80 С, негорючесть, повышенная устойчивость к воздействию атмосферных осадков, низкий коэффициент термического расширения (цвет сайдинга </w:t>
            </w:r>
            <w:r>
              <w:rPr>
                <w:color w:val="000000"/>
                <w:lang w:val="en-US"/>
              </w:rPr>
              <w:t>RAL</w:t>
            </w:r>
            <w:r w:rsidRPr="00D9292E">
              <w:rPr>
                <w:color w:val="000000"/>
              </w:rPr>
              <w:t xml:space="preserve"> 3011</w:t>
            </w:r>
            <w:r w:rsidRPr="00A323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или </w:t>
            </w:r>
            <w:r>
              <w:rPr>
                <w:color w:val="000000"/>
                <w:lang w:val="en-US"/>
              </w:rPr>
              <w:t>RR</w:t>
            </w:r>
            <w:r w:rsidRPr="00D9292E">
              <w:rPr>
                <w:color w:val="000000"/>
              </w:rPr>
              <w:t xml:space="preserve"> 28</w:t>
            </w:r>
            <w:r>
              <w:rPr>
                <w:color w:val="000000"/>
              </w:rPr>
              <w:t xml:space="preserve">, выложенный параллельно друг другу, длина не менее 5,5 м и не более 6 м, ширина не менее 250 мм и не более 300 мм). </w:t>
            </w:r>
          </w:p>
        </w:tc>
      </w:tr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Дверь входная пластиковая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Дверь входная с доводчиком, одностворчатая с глухой створкой, тип открывания - наружное левое, порог - алюминиевый, дверной замок </w:t>
            </w:r>
            <w:proofErr w:type="gramStart"/>
            <w:r>
              <w:rPr>
                <w:color w:val="000000"/>
              </w:rPr>
              <w:t>-в</w:t>
            </w:r>
            <w:proofErr w:type="gramEnd"/>
            <w:r>
              <w:rPr>
                <w:color w:val="000000"/>
              </w:rPr>
              <w:t>нутренний с роликовой защелкой, цвет - белый,  материал ПВХ.</w:t>
            </w:r>
          </w:p>
        </w:tc>
      </w:tr>
    </w:tbl>
    <w:p w:rsidR="008B79B2" w:rsidRDefault="008B79B2" w:rsidP="008B79B2">
      <w:pPr>
        <w:jc w:val="both"/>
        <w:rPr>
          <w:sz w:val="22"/>
          <w:szCs w:val="22"/>
        </w:rPr>
      </w:pPr>
    </w:p>
    <w:p w:rsidR="008B79B2" w:rsidRDefault="008B79B2" w:rsidP="008B79B2">
      <w:pPr>
        <w:jc w:val="both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 </w:t>
      </w:r>
    </w:p>
    <w:p w:rsidR="008B79B2" w:rsidRDefault="008B79B2" w:rsidP="008B79B2">
      <w:pPr>
        <w:pStyle w:val="ConsPlusNormal"/>
        <w:widowControl/>
        <w:ind w:right="-1"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8B79B2" w:rsidRDefault="008B79B2" w:rsidP="008B79B2">
      <w:pPr>
        <w:pStyle w:val="ConsPlusNormal"/>
        <w:widowControl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гражданско-правовому договору</w:t>
      </w:r>
    </w:p>
    <w:p w:rsidR="008B79B2" w:rsidRDefault="008B79B2" w:rsidP="008B79B2">
      <w:pPr>
        <w:ind w:right="-1"/>
        <w:jc w:val="right"/>
      </w:pPr>
      <w:r>
        <w:t>№ ____ от "___"        2015 г.</w:t>
      </w:r>
    </w:p>
    <w:p w:rsidR="008B79B2" w:rsidRDefault="008B79B2" w:rsidP="008B79B2">
      <w:pPr>
        <w:ind w:right="-1"/>
        <w:rPr>
          <w:b/>
        </w:rPr>
      </w:pPr>
    </w:p>
    <w:p w:rsidR="008B79B2" w:rsidRPr="008B6836" w:rsidRDefault="008B79B2" w:rsidP="008B79B2">
      <w:pPr>
        <w:ind w:right="-1"/>
        <w:rPr>
          <w:b/>
        </w:rPr>
      </w:pPr>
      <w:r w:rsidRPr="008B6836">
        <w:rPr>
          <w:b/>
        </w:rPr>
        <w:t xml:space="preserve">Место выполнения работ: </w:t>
      </w:r>
      <w:r w:rsidRPr="008B6836">
        <w:rPr>
          <w:bCs/>
        </w:rPr>
        <w:t xml:space="preserve">628260, ул. Таежная, 27, </w:t>
      </w:r>
      <w:r w:rsidRPr="008B6836">
        <w:t>г. Югорск, Ханты - Мансийский автономный округ – Югра.</w:t>
      </w:r>
    </w:p>
    <w:p w:rsidR="008B79B2" w:rsidRPr="008B6836" w:rsidRDefault="008B79B2" w:rsidP="008B79B2">
      <w:pPr>
        <w:ind w:right="-1"/>
        <w:rPr>
          <w:rFonts w:eastAsia="Calibri"/>
          <w:b/>
          <w:lang/>
        </w:rPr>
      </w:pPr>
      <w:r w:rsidRPr="008B6836">
        <w:rPr>
          <w:rFonts w:eastAsia="Calibri"/>
          <w:b/>
          <w:lang/>
        </w:rPr>
        <w:t xml:space="preserve">Сроки </w:t>
      </w:r>
      <w:r w:rsidRPr="008B6836">
        <w:rPr>
          <w:rFonts w:eastAsia="Calibri"/>
          <w:b/>
          <w:lang/>
        </w:rPr>
        <w:t>выполнения работ</w:t>
      </w:r>
      <w:r w:rsidRPr="008B6836">
        <w:rPr>
          <w:rFonts w:eastAsia="Calibri"/>
          <w:b/>
          <w:lang/>
        </w:rPr>
        <w:t xml:space="preserve">: </w:t>
      </w:r>
      <w:r w:rsidRPr="008B6836">
        <w:rPr>
          <w:rFonts w:eastAsia="Calibri"/>
          <w:lang/>
        </w:rPr>
        <w:t>С даты заключения гражданско-правового договора по 15.08.2015 г.</w:t>
      </w:r>
      <w:r w:rsidRPr="008B6836">
        <w:rPr>
          <w:rFonts w:eastAsia="Calibri"/>
          <w:lang/>
        </w:rPr>
        <w:t xml:space="preserve"> </w:t>
      </w:r>
    </w:p>
    <w:p w:rsidR="008B79B2" w:rsidRPr="008B6836" w:rsidRDefault="008B79B2" w:rsidP="008B79B2">
      <w:pPr>
        <w:ind w:right="-1"/>
        <w:rPr>
          <w:rFonts w:eastAsia="Calibri"/>
          <w:b/>
          <w:lang/>
        </w:rPr>
      </w:pPr>
      <w:r w:rsidRPr="008B6836">
        <w:rPr>
          <w:rFonts w:eastAsia="Calibri"/>
          <w:b/>
          <w:lang/>
        </w:rPr>
        <w:t>Требования к сроку и объему предоставления гарантии качества работ: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>- предоставление гарантии на выполненные работы предусмотрено на весь объем выполняемых работ  Подрядчиком;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>- гарантийный срок устанавливается в 18 календарных месяц</w:t>
      </w:r>
      <w:r w:rsidRPr="008B6836">
        <w:rPr>
          <w:rFonts w:eastAsia="Calibri"/>
          <w:lang/>
        </w:rPr>
        <w:t>ев</w:t>
      </w:r>
      <w:r w:rsidRPr="008B6836">
        <w:rPr>
          <w:rFonts w:eastAsia="Calibri"/>
          <w:lang/>
        </w:rPr>
        <w:t xml:space="preserve"> после подписания акта сдачи-приемки  работ.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 xml:space="preserve">Подрядчик гарантирует: 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>- соответствие результата работ требованиям государственных стандартов (ГОСТ), строительных норм и правил (СНиП), техническому заданию документации об аукционе, условиям договора, другой нормативной документацией относящейся к выполнению ремонтных работ</w:t>
      </w:r>
      <w:r w:rsidRPr="008B6836">
        <w:rPr>
          <w:rFonts w:eastAsia="Calibri"/>
          <w:lang/>
        </w:rPr>
        <w:t>;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>- своевременное устранение недостатков и дефектов, выявленных при приемке работ и в период гарантийного срока эксплуатации Объекта</w:t>
      </w:r>
      <w:r w:rsidRPr="008B6836">
        <w:rPr>
          <w:rFonts w:eastAsia="Calibri"/>
          <w:lang/>
        </w:rPr>
        <w:t>;</w:t>
      </w:r>
    </w:p>
    <w:p w:rsidR="008B79B2" w:rsidRPr="008B6836" w:rsidRDefault="008B79B2" w:rsidP="008B79B2">
      <w:pPr>
        <w:ind w:right="-1"/>
        <w:rPr>
          <w:rFonts w:eastAsia="Calibri"/>
          <w:lang/>
        </w:rPr>
      </w:pPr>
      <w:r w:rsidRPr="008B6836">
        <w:rPr>
          <w:rFonts w:eastAsia="Calibri"/>
          <w:lang/>
        </w:rPr>
        <w:t>- возможность эксплуатации Объекта на протяжении гарантийного срока.</w:t>
      </w:r>
    </w:p>
    <w:p w:rsidR="008B79B2" w:rsidRPr="008B6836" w:rsidRDefault="008B79B2" w:rsidP="008B79B2">
      <w:pPr>
        <w:pStyle w:val="ConsPlusNormal"/>
        <w:widowControl/>
        <w:ind w:right="-1" w:firstLine="0"/>
        <w:rPr>
          <w:rFonts w:ascii="Times New Roman" w:eastAsia="Calibri" w:hAnsi="Times New Roman"/>
          <w:sz w:val="24"/>
          <w:szCs w:val="24"/>
          <w:lang/>
        </w:rPr>
      </w:pPr>
      <w:r w:rsidRPr="008B6836">
        <w:rPr>
          <w:rFonts w:ascii="Times New Roman" w:eastAsia="Calibri" w:hAnsi="Times New Roman"/>
          <w:b/>
          <w:sz w:val="24"/>
          <w:szCs w:val="24"/>
          <w:lang/>
        </w:rPr>
        <w:t>Объем и характеристика выполняемых работ</w:t>
      </w:r>
      <w:r w:rsidRPr="008B6836">
        <w:rPr>
          <w:rFonts w:ascii="Times New Roman" w:eastAsia="Calibri" w:hAnsi="Times New Roman"/>
          <w:b/>
          <w:sz w:val="24"/>
          <w:szCs w:val="24"/>
          <w:lang/>
        </w:rPr>
        <w:t>:</w:t>
      </w:r>
      <w:r w:rsidRPr="008B6836">
        <w:rPr>
          <w:rFonts w:ascii="Times New Roman" w:eastAsia="Calibri" w:hAnsi="Times New Roman"/>
          <w:b/>
          <w:sz w:val="24"/>
          <w:szCs w:val="24"/>
          <w:lang/>
        </w:rPr>
        <w:t xml:space="preserve"> </w:t>
      </w:r>
      <w:r w:rsidRPr="008B6836">
        <w:rPr>
          <w:rFonts w:ascii="Times New Roman" w:eastAsia="Calibri" w:hAnsi="Times New Roman"/>
          <w:sz w:val="24"/>
          <w:szCs w:val="24"/>
          <w:lang/>
        </w:rPr>
        <w:t>указана в локальном сметном расчете.</w:t>
      </w:r>
    </w:p>
    <w:p w:rsidR="008B79B2" w:rsidRPr="008B6836" w:rsidRDefault="008B79B2" w:rsidP="008B79B2">
      <w:pPr>
        <w:pStyle w:val="ConsPlusNormal"/>
        <w:widowControl/>
        <w:tabs>
          <w:tab w:val="left" w:pos="0"/>
        </w:tabs>
        <w:spacing w:before="120" w:after="120"/>
        <w:ind w:right="-1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836">
        <w:rPr>
          <w:rFonts w:ascii="Times New Roman" w:hAnsi="Times New Roman"/>
          <w:sz w:val="24"/>
          <w:szCs w:val="24"/>
        </w:rPr>
        <w:t xml:space="preserve"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8B6836">
        <w:rPr>
          <w:rFonts w:ascii="Times New Roman" w:hAnsi="Times New Roman"/>
          <w:sz w:val="24"/>
          <w:szCs w:val="24"/>
        </w:rPr>
        <w:t>платежи</w:t>
      </w:r>
      <w:proofErr w:type="gramEnd"/>
      <w:r w:rsidRPr="008B6836">
        <w:rPr>
          <w:rFonts w:ascii="Times New Roman" w:hAnsi="Times New Roman"/>
          <w:sz w:val="24"/>
          <w:szCs w:val="24"/>
        </w:rPr>
        <w:t xml:space="preserve"> и иные расходы, связанные с выполнением работ.</w:t>
      </w: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</w:p>
    <w:p w:rsidR="008B79B2" w:rsidRDefault="008B79B2" w:rsidP="002C2802">
      <w:pPr>
        <w:rPr>
          <w:sz w:val="22"/>
          <w:szCs w:val="22"/>
        </w:rPr>
      </w:pPr>
    </w:p>
    <w:p w:rsidR="002C2802" w:rsidRDefault="002C2802" w:rsidP="002C2802">
      <w:pPr>
        <w:rPr>
          <w:sz w:val="22"/>
          <w:szCs w:val="22"/>
        </w:rPr>
      </w:pPr>
    </w:p>
    <w:p w:rsidR="008B79B2" w:rsidRDefault="008B79B2" w:rsidP="008B79B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3 </w:t>
      </w: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гражданско-правовому договору</w:t>
      </w: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от "___"        2015 г.</w:t>
      </w: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Pr="00F678BA" w:rsidRDefault="008B79B2" w:rsidP="008B79B2">
      <w:pPr>
        <w:ind w:right="-567"/>
        <w:jc w:val="center"/>
        <w:rPr>
          <w:rFonts w:eastAsia="Calibri"/>
          <w:b/>
          <w:lang/>
        </w:rPr>
      </w:pPr>
      <w:r w:rsidRPr="00F678BA">
        <w:rPr>
          <w:rFonts w:eastAsia="Calibri"/>
          <w:b/>
          <w:lang/>
        </w:rPr>
        <w:t>Характеристика  используемых материалов</w:t>
      </w:r>
      <w:r>
        <w:rPr>
          <w:rFonts w:eastAsia="Calibri"/>
          <w:b/>
          <w:lang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45"/>
        <w:gridCol w:w="7088"/>
      </w:tblGrid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-114" w:right="-10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материалов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  используемых материалов</w:t>
            </w:r>
          </w:p>
        </w:tc>
      </w:tr>
      <w:tr w:rsidR="008B79B2" w:rsidTr="004848CC">
        <w:trPr>
          <w:trHeight w:val="1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Pr="00B824D4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Плиты </w:t>
            </w:r>
            <w:proofErr w:type="spellStart"/>
            <w:r>
              <w:rPr>
                <w:szCs w:val="28"/>
              </w:rPr>
              <w:t>минераловатные</w:t>
            </w:r>
            <w:proofErr w:type="spellEnd"/>
            <w:r>
              <w:rPr>
                <w:szCs w:val="28"/>
              </w:rPr>
              <w:t xml:space="preserve"> на </w:t>
            </w:r>
            <w:proofErr w:type="gramStart"/>
            <w:r>
              <w:rPr>
                <w:szCs w:val="28"/>
              </w:rPr>
              <w:t>синтетическом</w:t>
            </w:r>
            <w:proofErr w:type="gramEnd"/>
            <w:r>
              <w:rPr>
                <w:szCs w:val="28"/>
              </w:rPr>
              <w:t xml:space="preserve"> связующем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spacing w:after="0"/>
              <w:rPr>
                <w:szCs w:val="28"/>
              </w:rPr>
            </w:pPr>
          </w:p>
        </w:tc>
      </w:tr>
      <w:tr w:rsidR="008B79B2" w:rsidTr="004848CC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B824D4" w:rsidRDefault="008B79B2" w:rsidP="004848CC">
            <w:pPr>
              <w:pStyle w:val="a"/>
              <w:numPr>
                <w:ilvl w:val="0"/>
                <w:numId w:val="0"/>
              </w:numPr>
              <w:jc w:val="left"/>
              <w:rPr>
                <w:szCs w:val="28"/>
              </w:rPr>
            </w:pPr>
            <w:r>
              <w:rPr>
                <w:szCs w:val="28"/>
              </w:rPr>
              <w:t>Пароизоляционная пленка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8B4E0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</w:tc>
      </w:tr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Сайдинг</w:t>
            </w:r>
            <w:proofErr w:type="spellEnd"/>
            <w:r>
              <w:rPr>
                <w:szCs w:val="28"/>
              </w:rPr>
              <w:t xml:space="preserve"> металлический оцинкованный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Pr="008B4E0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</w:tc>
      </w:tr>
      <w:tr w:rsidR="008B79B2" w:rsidTr="004848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ind w:left="360" w:hanging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Дверь входная пластиковая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2" w:rsidRDefault="008B79B2" w:rsidP="004848CC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</w:tc>
      </w:tr>
    </w:tbl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146" w:type="dxa"/>
        <w:tblLook w:val="00A0"/>
      </w:tblPr>
      <w:tblGrid>
        <w:gridCol w:w="4914"/>
        <w:gridCol w:w="4914"/>
      </w:tblGrid>
      <w:tr w:rsidR="008B79B2" w:rsidRPr="00B07633" w:rsidTr="004848CC">
        <w:tc>
          <w:tcPr>
            <w:tcW w:w="4914" w:type="dxa"/>
          </w:tcPr>
          <w:p w:rsidR="008B79B2" w:rsidRPr="00B07633" w:rsidRDefault="008B79B2" w:rsidP="004848CC">
            <w:pPr>
              <w:jc w:val="center"/>
              <w:rPr>
                <w:rFonts w:eastAsia="Calibri"/>
                <w:b/>
                <w:bCs/>
              </w:rPr>
            </w:pPr>
            <w:r w:rsidRPr="00B07633">
              <w:rPr>
                <w:b/>
                <w:bCs/>
                <w:sz w:val="22"/>
                <w:szCs w:val="22"/>
              </w:rPr>
              <w:t>Заказчик:</w:t>
            </w:r>
          </w:p>
          <w:p w:rsidR="008B79B2" w:rsidRPr="00B07633" w:rsidRDefault="008B79B2" w:rsidP="004848CC">
            <w:pPr>
              <w:ind w:hanging="4"/>
              <w:rPr>
                <w:b/>
                <w:bCs/>
              </w:rPr>
            </w:pPr>
            <w:r w:rsidRPr="00B07633">
              <w:rPr>
                <w:b/>
                <w:bCs/>
                <w:sz w:val="22"/>
                <w:szCs w:val="22"/>
              </w:rPr>
              <w:t>МБОУ «Средняя общеобразовательная</w:t>
            </w:r>
          </w:p>
          <w:p w:rsidR="008B79B2" w:rsidRPr="00B07633" w:rsidRDefault="008B79B2" w:rsidP="004848CC">
            <w:pPr>
              <w:ind w:hanging="4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</w:t>
            </w:r>
            <w:r w:rsidRPr="00B07633">
              <w:rPr>
                <w:b/>
                <w:bCs/>
                <w:sz w:val="22"/>
                <w:szCs w:val="22"/>
              </w:rPr>
              <w:t>кола №2»</w:t>
            </w:r>
          </w:p>
          <w:p w:rsidR="008B79B2" w:rsidRPr="00B07633" w:rsidRDefault="008B79B2" w:rsidP="004848CC">
            <w:pPr>
              <w:ind w:hanging="4"/>
              <w:rPr>
                <w:rFonts w:eastAsia="Calibri"/>
                <w:b/>
                <w:bCs/>
              </w:rPr>
            </w:pPr>
          </w:p>
        </w:tc>
        <w:tc>
          <w:tcPr>
            <w:tcW w:w="4914" w:type="dxa"/>
          </w:tcPr>
          <w:p w:rsidR="008B79B2" w:rsidRPr="00B07633" w:rsidRDefault="008B79B2" w:rsidP="004848CC">
            <w:pPr>
              <w:rPr>
                <w:rFonts w:eastAsia="Calibri"/>
                <w:b/>
                <w:bCs/>
              </w:rPr>
            </w:pPr>
            <w:r w:rsidRPr="00B07633">
              <w:rPr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sz w:val="22"/>
                <w:szCs w:val="22"/>
              </w:rPr>
              <w:t>Подрядчик</w:t>
            </w:r>
            <w:r w:rsidRPr="00B07633">
              <w:rPr>
                <w:b/>
                <w:bCs/>
                <w:sz w:val="22"/>
                <w:szCs w:val="22"/>
              </w:rPr>
              <w:t>:</w:t>
            </w:r>
          </w:p>
          <w:p w:rsidR="008B79B2" w:rsidRPr="00B07633" w:rsidRDefault="008B79B2" w:rsidP="004848CC">
            <w:pPr>
              <w:rPr>
                <w:bCs/>
              </w:rPr>
            </w:pPr>
          </w:p>
          <w:p w:rsidR="008B79B2" w:rsidRPr="00B07633" w:rsidRDefault="008B79B2" w:rsidP="004848CC">
            <w:pPr>
              <w:ind w:hanging="4"/>
              <w:rPr>
                <w:rFonts w:eastAsia="Calibri"/>
                <w:bCs/>
              </w:rPr>
            </w:pPr>
          </w:p>
        </w:tc>
      </w:tr>
      <w:tr w:rsidR="008B79B2" w:rsidTr="004848CC">
        <w:tc>
          <w:tcPr>
            <w:tcW w:w="4914" w:type="dxa"/>
          </w:tcPr>
          <w:p w:rsidR="008B79B2" w:rsidRDefault="008B79B2" w:rsidP="004848CC">
            <w:r>
              <w:rPr>
                <w:sz w:val="22"/>
              </w:rPr>
              <w:t>Директор ____________ И.А. Ефремова</w:t>
            </w:r>
          </w:p>
          <w:p w:rsidR="008B79B2" w:rsidRDefault="008B79B2" w:rsidP="004848C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4" w:type="dxa"/>
            <w:hideMark/>
          </w:tcPr>
          <w:p w:rsidR="008B79B2" w:rsidRDefault="008B79B2" w:rsidP="004848CC">
            <w:pPr>
              <w:rPr>
                <w:rFonts w:eastAsia="Calibri"/>
                <w:bCs/>
              </w:rPr>
            </w:pPr>
            <w:r>
              <w:rPr>
                <w:bCs/>
                <w:sz w:val="22"/>
              </w:rPr>
              <w:t xml:space="preserve">Директор _____________ </w:t>
            </w:r>
          </w:p>
        </w:tc>
      </w:tr>
    </w:tbl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B79B2" w:rsidRDefault="008B79B2" w:rsidP="008B79B2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B377A" w:rsidRDefault="006B377A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6B377A" w:rsidRDefault="006B377A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sectPr w:rsidR="006B377A" w:rsidSect="006B377A"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41" w:rsidRDefault="00EE7741" w:rsidP="001559DB">
      <w:r>
        <w:separator/>
      </w:r>
    </w:p>
  </w:endnote>
  <w:endnote w:type="continuationSeparator" w:id="0">
    <w:p w:rsidR="00EE7741" w:rsidRDefault="00EE7741" w:rsidP="0015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41" w:rsidRDefault="00EE7741" w:rsidP="001559DB">
      <w:r>
        <w:separator/>
      </w:r>
    </w:p>
  </w:footnote>
  <w:footnote w:type="continuationSeparator" w:id="0">
    <w:p w:rsidR="00EE7741" w:rsidRDefault="00EE7741" w:rsidP="0015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4">
    <w:nsid w:val="2E5F3C95"/>
    <w:multiLevelType w:val="singleLevel"/>
    <w:tmpl w:val="8D8A5F4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9B0"/>
    <w:rsid w:val="000D67D8"/>
    <w:rsid w:val="001559DB"/>
    <w:rsid w:val="0020177D"/>
    <w:rsid w:val="0022293F"/>
    <w:rsid w:val="002532C5"/>
    <w:rsid w:val="00266086"/>
    <w:rsid w:val="0027799B"/>
    <w:rsid w:val="00283D0C"/>
    <w:rsid w:val="002C2802"/>
    <w:rsid w:val="002D3B58"/>
    <w:rsid w:val="00434BFD"/>
    <w:rsid w:val="00461F0B"/>
    <w:rsid w:val="00467A76"/>
    <w:rsid w:val="004C4106"/>
    <w:rsid w:val="004E28F4"/>
    <w:rsid w:val="004F3584"/>
    <w:rsid w:val="0058037B"/>
    <w:rsid w:val="006B377A"/>
    <w:rsid w:val="0071267F"/>
    <w:rsid w:val="00746E34"/>
    <w:rsid w:val="0075208E"/>
    <w:rsid w:val="008510E2"/>
    <w:rsid w:val="008B79B2"/>
    <w:rsid w:val="009B2B33"/>
    <w:rsid w:val="00AD3BE5"/>
    <w:rsid w:val="00B07625"/>
    <w:rsid w:val="00B7618F"/>
    <w:rsid w:val="00BA7B00"/>
    <w:rsid w:val="00BB7C21"/>
    <w:rsid w:val="00C67FA0"/>
    <w:rsid w:val="00C91C87"/>
    <w:rsid w:val="00CB1C4B"/>
    <w:rsid w:val="00D9587B"/>
    <w:rsid w:val="00DB7C02"/>
    <w:rsid w:val="00DE1822"/>
    <w:rsid w:val="00DF09B0"/>
    <w:rsid w:val="00E60A58"/>
    <w:rsid w:val="00EE7741"/>
    <w:rsid w:val="00F052CF"/>
    <w:rsid w:val="00F466D0"/>
    <w:rsid w:val="00F9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link w:val="ConsPlusNormal0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header"/>
    <w:basedOn w:val="a1"/>
    <w:link w:val="ac"/>
    <w:uiPriority w:val="99"/>
    <w:unhideWhenUsed/>
    <w:rsid w:val="001559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1559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1"/>
    <w:link w:val="ae"/>
    <w:uiPriority w:val="99"/>
    <w:unhideWhenUsed/>
    <w:rsid w:val="001559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1559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B79B2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16</cp:revision>
  <cp:lastPrinted>2015-06-08T08:55:00Z</cp:lastPrinted>
  <dcterms:created xsi:type="dcterms:W3CDTF">2015-03-25T04:44:00Z</dcterms:created>
  <dcterms:modified xsi:type="dcterms:W3CDTF">2015-06-09T05:27:00Z</dcterms:modified>
</cp:coreProperties>
</file>